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0"/>
        <w:rPr>
          <w:rFonts w:ascii="仿宋" w:hAnsi="仿宋" w:eastAsia="仿宋"/>
          <w:sz w:val="32"/>
          <w:szCs w:val="32"/>
        </w:rPr>
      </w:pPr>
      <w:r>
        <w:rPr>
          <w:rFonts w:hint="eastAsia" w:ascii="黑体" w:hAnsi="黑体" w:eastAsia="黑体" w:cs="黑体"/>
          <w:sz w:val="32"/>
          <w:szCs w:val="32"/>
        </w:rPr>
        <w:t>附件2</w:t>
      </w:r>
    </w:p>
    <w:p>
      <w:pPr>
        <w:pStyle w:val="2"/>
        <w:spacing w:after="0" w:line="600" w:lineRule="exact"/>
        <w:rPr>
          <w:rFonts w:hint="eastAsia"/>
        </w:rPr>
      </w:pPr>
    </w:p>
    <w:p>
      <w:pPr>
        <w:pStyle w:val="3"/>
        <w:spacing w:line="600" w:lineRule="exact"/>
        <w:jc w:val="center"/>
        <w:rPr>
          <w:rFonts w:ascii="Times New Roman" w:hAnsi="Times New Roman" w:eastAsia="方正小标宋_GBK"/>
          <w:sz w:val="44"/>
          <w:szCs w:val="44"/>
        </w:rPr>
      </w:pPr>
      <w:r>
        <w:rPr>
          <w:rFonts w:ascii="Times New Roman" w:hAnsi="Times New Roman" w:eastAsia="方正小标宋_GBK"/>
          <w:sz w:val="44"/>
          <w:szCs w:val="44"/>
        </w:rPr>
        <w:t>广东省202</w:t>
      </w:r>
      <w:r>
        <w:rPr>
          <w:rFonts w:hint="eastAsia" w:ascii="Times New Roman" w:hAnsi="Times New Roman" w:eastAsia="方正小标宋_GBK"/>
          <w:sz w:val="44"/>
          <w:szCs w:val="44"/>
        </w:rPr>
        <w:t>1</w:t>
      </w:r>
      <w:r>
        <w:rPr>
          <w:rFonts w:ascii="Times New Roman" w:hAnsi="Times New Roman" w:eastAsia="方正小标宋_GBK"/>
          <w:sz w:val="44"/>
          <w:szCs w:val="44"/>
        </w:rPr>
        <w:t>年工业互联网标识解析二级节点等建设引导资金项目申报指南</w:t>
      </w:r>
    </w:p>
    <w:p>
      <w:pPr>
        <w:spacing w:line="600" w:lineRule="exact"/>
      </w:pPr>
    </w:p>
    <w:p>
      <w:pPr>
        <w:spacing w:line="600" w:lineRule="exact"/>
        <w:ind w:firstLine="640" w:firstLineChars="200"/>
        <w:jc w:val="left"/>
        <w:outlineLvl w:val="1"/>
        <w:rPr>
          <w:rFonts w:ascii="Times New Roman" w:hAnsi="Times New Roman" w:eastAsia="黑体" w:cs="Times New Roman"/>
          <w:sz w:val="32"/>
          <w:szCs w:val="32"/>
        </w:rPr>
      </w:pPr>
      <w:r>
        <w:rPr>
          <w:rFonts w:hint="default" w:ascii="Times New Roman" w:hAnsi="Times New Roman" w:eastAsia="黑体" w:cs="Times New Roman"/>
          <w:sz w:val="32"/>
          <w:szCs w:val="32"/>
        </w:rPr>
        <w:t>一、重点方向</w:t>
      </w:r>
    </w:p>
    <w:p>
      <w:pPr>
        <w:spacing w:line="600" w:lineRule="exact"/>
        <w:ind w:firstLine="640" w:firstLineChars="200"/>
        <w:jc w:val="left"/>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（一）支持食品加工、纺织服装、森工造纸、电气机械、建筑、医药、家电、汽车、新能源等行业，建设工业互联网标识解析二级节点。</w:t>
      </w:r>
    </w:p>
    <w:p>
      <w:pPr>
        <w:spacing w:line="600" w:lineRule="exact"/>
        <w:ind w:firstLine="640" w:firstLineChars="200"/>
        <w:jc w:val="left"/>
        <w:outlineLvl w:val="1"/>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（二）支持粤东西北地区的特色行业，建设工业互联网标识解析二级节点。</w:t>
      </w:r>
    </w:p>
    <w:p>
      <w:pPr>
        <w:spacing w:line="600" w:lineRule="exact"/>
        <w:ind w:firstLine="640" w:firstLineChars="200"/>
        <w:jc w:val="left"/>
        <w:outlineLvl w:val="1"/>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（三）支持在具有面向订单、交易等对可信要求较高应用场景的行业，鼓励标识解析与区块链等技术融合创新，建设工业互联网标识解析二级融合节点。</w:t>
      </w:r>
    </w:p>
    <w:p>
      <w:pPr>
        <w:spacing w:line="600" w:lineRule="exact"/>
        <w:ind w:firstLine="640" w:firstLineChars="200"/>
        <w:jc w:val="left"/>
        <w:outlineLvl w:val="1"/>
        <w:rPr>
          <w:rFonts w:ascii="Times New Roman" w:hAnsi="Times New Roman" w:eastAsia="黑体" w:cs="Times New Roman"/>
          <w:sz w:val="32"/>
          <w:szCs w:val="32"/>
        </w:rPr>
      </w:pPr>
      <w:r>
        <w:rPr>
          <w:rFonts w:hint="default" w:ascii="Times New Roman" w:hAnsi="Times New Roman" w:eastAsia="黑体" w:cs="Times New Roman"/>
          <w:sz w:val="32"/>
          <w:szCs w:val="32"/>
        </w:rPr>
        <w:t>二、实施内容</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w:t>
      </w:r>
      <w:r>
        <w:rPr>
          <w:rFonts w:ascii="Times New Roman" w:hAnsi="Times New Roman" w:eastAsia="仿宋_GB2312" w:cs="Times New Roman"/>
          <w:sz w:val="32"/>
          <w:szCs w:val="32"/>
        </w:rPr>
        <w:t>建设和部署工业互联网标识解析二级节点，</w:t>
      </w:r>
      <w:r>
        <w:rPr>
          <w:rFonts w:hint="default" w:ascii="Times New Roman" w:hAnsi="Times New Roman" w:eastAsia="仿宋_GB2312" w:cs="Times New Roman"/>
          <w:sz w:val="32"/>
          <w:szCs w:val="32"/>
        </w:rPr>
        <w:t>与国家顶级节点实现对接，</w:t>
      </w:r>
      <w:r>
        <w:rPr>
          <w:rFonts w:ascii="Times New Roman" w:hAnsi="Times New Roman" w:eastAsia="仿宋_GB2312" w:cs="Times New Roman"/>
          <w:sz w:val="32"/>
          <w:szCs w:val="32"/>
        </w:rPr>
        <w:t>支持本行业</w:t>
      </w:r>
      <w:r>
        <w:rPr>
          <w:rFonts w:hint="default" w:ascii="Times New Roman" w:hAnsi="Times New Roman" w:eastAsia="仿宋_GB2312" w:cs="Times New Roman"/>
          <w:sz w:val="32"/>
          <w:szCs w:val="32"/>
        </w:rPr>
        <w:t>内的</w:t>
      </w:r>
      <w:r>
        <w:rPr>
          <w:rFonts w:ascii="Times New Roman" w:hAnsi="Times New Roman" w:eastAsia="仿宋_GB2312" w:cs="Times New Roman"/>
          <w:sz w:val="32"/>
          <w:szCs w:val="32"/>
        </w:rPr>
        <w:t>机器、产品、资源等工业互联网对象的标识注册</w:t>
      </w:r>
      <w:r>
        <w:rPr>
          <w:rFonts w:hint="default" w:ascii="Times New Roman" w:hAnsi="Times New Roman" w:eastAsia="仿宋_GB2312" w:cs="Times New Roman"/>
          <w:sz w:val="32"/>
          <w:szCs w:val="32"/>
        </w:rPr>
        <w:t>和</w:t>
      </w:r>
      <w:r>
        <w:rPr>
          <w:rFonts w:ascii="Times New Roman" w:hAnsi="Times New Roman" w:eastAsia="仿宋_GB2312" w:cs="Times New Roman"/>
          <w:sz w:val="32"/>
          <w:szCs w:val="32"/>
        </w:rPr>
        <w:t>解析</w:t>
      </w:r>
      <w:r>
        <w:rPr>
          <w:rFonts w:hint="default" w:ascii="Times New Roman" w:hAnsi="Times New Roman" w:eastAsia="仿宋_GB2312" w:cs="Times New Roman"/>
          <w:sz w:val="32"/>
          <w:szCs w:val="32"/>
        </w:rPr>
        <w:t>的基础服务能力</w:t>
      </w:r>
      <w:r>
        <w:rPr>
          <w:rFonts w:hint="eastAsia" w:ascii="Times New Roman" w:hAnsi="Times New Roman" w:eastAsia="仿宋_GB2312" w:cs="Times New Roman"/>
          <w:sz w:val="32"/>
          <w:szCs w:val="32"/>
          <w:lang w:eastAsia="zh-CN"/>
        </w:rPr>
        <w:t>，并按照《工业互联网标识管理办法》的相关规定完成工业互联网标识注册服务机构申请，取得相应许可</w:t>
      </w:r>
      <w:r>
        <w:rPr>
          <w:rFonts w:hint="default" w:ascii="Times New Roman" w:hAnsi="Times New Roman" w:eastAsia="仿宋_GB2312" w:cs="Times New Roman"/>
          <w:sz w:val="32"/>
          <w:szCs w:val="32"/>
        </w:rPr>
        <w:t>。</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w:t>
      </w:r>
      <w:r>
        <w:rPr>
          <w:rFonts w:ascii="Times New Roman" w:hAnsi="Times New Roman" w:eastAsia="仿宋_GB2312" w:cs="Times New Roman"/>
          <w:sz w:val="32"/>
          <w:szCs w:val="32"/>
        </w:rPr>
        <w:t>推动</w:t>
      </w:r>
      <w:r>
        <w:rPr>
          <w:rFonts w:hint="default" w:ascii="Times New Roman" w:hAnsi="Times New Roman" w:eastAsia="仿宋_GB2312" w:cs="Times New Roman"/>
          <w:sz w:val="32"/>
          <w:szCs w:val="32"/>
        </w:rPr>
        <w:t>行业内更多的</w:t>
      </w:r>
      <w:r>
        <w:rPr>
          <w:rFonts w:ascii="Times New Roman" w:hAnsi="Times New Roman" w:eastAsia="仿宋_GB2312" w:cs="Times New Roman"/>
          <w:sz w:val="32"/>
          <w:szCs w:val="32"/>
        </w:rPr>
        <w:t>企业</w:t>
      </w:r>
      <w:r>
        <w:rPr>
          <w:rFonts w:hint="default" w:ascii="Times New Roman" w:hAnsi="Times New Roman" w:eastAsia="仿宋_GB2312" w:cs="Times New Roman"/>
          <w:sz w:val="32"/>
          <w:szCs w:val="32"/>
        </w:rPr>
        <w:t>、设备</w:t>
      </w:r>
      <w:r>
        <w:rPr>
          <w:rFonts w:ascii="Times New Roman" w:hAnsi="Times New Roman" w:eastAsia="仿宋_GB2312" w:cs="Times New Roman"/>
          <w:sz w:val="32"/>
          <w:szCs w:val="32"/>
        </w:rPr>
        <w:t>接入</w:t>
      </w:r>
      <w:r>
        <w:rPr>
          <w:rFonts w:hint="default" w:ascii="Times New Roman" w:hAnsi="Times New Roman" w:eastAsia="仿宋_GB2312" w:cs="Times New Roman"/>
          <w:sz w:val="32"/>
          <w:szCs w:val="32"/>
        </w:rPr>
        <w:t>工业互联网标识解析</w:t>
      </w:r>
      <w:r>
        <w:rPr>
          <w:rFonts w:ascii="Times New Roman" w:hAnsi="Times New Roman" w:eastAsia="仿宋_GB2312" w:cs="Times New Roman"/>
          <w:sz w:val="32"/>
          <w:szCs w:val="32"/>
        </w:rPr>
        <w:t>二级节点</w:t>
      </w:r>
      <w:r>
        <w:rPr>
          <w:rFonts w:hint="default" w:ascii="Times New Roman" w:hAnsi="Times New Roman" w:eastAsia="仿宋_GB2312" w:cs="Times New Roman"/>
          <w:sz w:val="32"/>
          <w:szCs w:val="32"/>
        </w:rPr>
        <w:t>，培育推广工业互联网标识解析体系生态，促进工业大数据流通。</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（三）建设</w:t>
      </w:r>
      <w:r>
        <w:rPr>
          <w:rFonts w:ascii="Times New Roman" w:hAnsi="Times New Roman" w:eastAsia="仿宋_GB2312" w:cs="Times New Roman"/>
          <w:sz w:val="32"/>
          <w:szCs w:val="32"/>
        </w:rPr>
        <w:t>基于标识解析的</w:t>
      </w:r>
      <w:r>
        <w:rPr>
          <w:rFonts w:hint="default" w:ascii="Times New Roman" w:hAnsi="Times New Roman" w:eastAsia="仿宋_GB2312" w:cs="Times New Roman"/>
          <w:sz w:val="32"/>
          <w:szCs w:val="32"/>
        </w:rPr>
        <w:t>规模化定制、智能化生产、服务化延伸、网络化协同等应用场景，</w:t>
      </w:r>
      <w:r>
        <w:rPr>
          <w:rFonts w:ascii="Times New Roman" w:hAnsi="Times New Roman" w:eastAsia="仿宋_GB2312" w:cs="Times New Roman"/>
          <w:sz w:val="32"/>
          <w:szCs w:val="32"/>
        </w:rPr>
        <w:t>整合上下游企业资源</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形成基于标识的行业级数字化解决方案</w:t>
      </w:r>
      <w:r>
        <w:rPr>
          <w:rFonts w:hint="default" w:ascii="Times New Roman" w:hAnsi="Times New Roman" w:eastAsia="仿宋_GB2312" w:cs="Times New Roman"/>
          <w:sz w:val="32"/>
          <w:szCs w:val="32"/>
        </w:rPr>
        <w:t>。鼓励应用场景与区块链、5G、大数据等新技术、新领域相结合。</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（四）鼓励建设基于主动标识的应用场景，在行业规模推广，实现标识对象与二级节点的快速自动连接，推动工业互联网标识产品和应用的规模化、标准化和低成本化。</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（五）鼓励</w:t>
      </w:r>
      <w:r>
        <w:rPr>
          <w:rFonts w:ascii="Times New Roman" w:hAnsi="Times New Roman" w:eastAsia="仿宋_GB2312" w:cs="Times New Roman"/>
          <w:sz w:val="32"/>
          <w:szCs w:val="32"/>
        </w:rPr>
        <w:t>与高等院校、科研院所等科研</w:t>
      </w:r>
      <w:r>
        <w:rPr>
          <w:rFonts w:hint="default" w:ascii="Times New Roman" w:hAnsi="Times New Roman" w:eastAsia="仿宋_GB2312" w:cs="Times New Roman"/>
          <w:sz w:val="32"/>
          <w:szCs w:val="32"/>
        </w:rPr>
        <w:t>机构</w:t>
      </w:r>
      <w:r>
        <w:rPr>
          <w:rFonts w:ascii="Times New Roman" w:hAnsi="Times New Roman" w:eastAsia="仿宋_GB2312" w:cs="Times New Roman"/>
          <w:sz w:val="32"/>
          <w:szCs w:val="32"/>
        </w:rPr>
        <w:t>形成合力，</w:t>
      </w:r>
      <w:r>
        <w:rPr>
          <w:rFonts w:hint="default" w:ascii="Times New Roman" w:hAnsi="Times New Roman" w:eastAsia="仿宋_GB2312" w:cs="Times New Roman"/>
          <w:sz w:val="32"/>
          <w:szCs w:val="32"/>
        </w:rPr>
        <w:t>开展研究报告、论文和专著等形式的研究成果转化。</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（六）</w:t>
      </w:r>
      <w:r>
        <w:rPr>
          <w:rFonts w:ascii="Times New Roman" w:hAnsi="Times New Roman" w:eastAsia="仿宋_GB2312" w:cs="Times New Roman"/>
          <w:sz w:val="32"/>
          <w:szCs w:val="32"/>
        </w:rPr>
        <w:t>项目建设</w:t>
      </w:r>
      <w:r>
        <w:rPr>
          <w:rFonts w:hint="eastAsia" w:ascii="Times New Roman" w:hAnsi="Times New Roman" w:eastAsia="仿宋_GB2312" w:cs="Times New Roman"/>
          <w:sz w:val="32"/>
          <w:szCs w:val="32"/>
          <w:lang w:eastAsia="zh-CN"/>
        </w:rPr>
        <w:t>期不应早于</w:t>
      </w:r>
      <w:r>
        <w:rPr>
          <w:rFonts w:hint="eastAsia" w:ascii="Times New Roman" w:hAnsi="Times New Roman" w:eastAsia="仿宋_GB2312" w:cs="Times New Roman"/>
          <w:sz w:val="32"/>
          <w:szCs w:val="32"/>
          <w:lang w:val="en-US" w:eastAsia="zh-CN"/>
        </w:rPr>
        <w:t>2021年1月，项目建设</w:t>
      </w:r>
      <w:r>
        <w:rPr>
          <w:rFonts w:ascii="Times New Roman" w:hAnsi="Times New Roman" w:eastAsia="仿宋_GB2312" w:cs="Times New Roman"/>
          <w:sz w:val="32"/>
          <w:szCs w:val="32"/>
        </w:rPr>
        <w:t>周期不</w:t>
      </w:r>
      <w:r>
        <w:rPr>
          <w:rFonts w:hint="default" w:ascii="Times New Roman" w:hAnsi="Times New Roman" w:eastAsia="仿宋_GB2312" w:cs="Times New Roman"/>
          <w:sz w:val="32"/>
          <w:szCs w:val="32"/>
        </w:rPr>
        <w:t>应</w:t>
      </w:r>
      <w:r>
        <w:rPr>
          <w:rFonts w:ascii="Times New Roman" w:hAnsi="Times New Roman" w:eastAsia="仿宋_GB2312" w:cs="Times New Roman"/>
          <w:sz w:val="32"/>
          <w:szCs w:val="32"/>
        </w:rPr>
        <w:t>超过2年</w:t>
      </w:r>
      <w:r>
        <w:rPr>
          <w:rFonts w:hint="default" w:ascii="Times New Roman" w:hAnsi="Times New Roman" w:eastAsia="仿宋_GB2312" w:cs="Times New Roman"/>
          <w:sz w:val="32"/>
          <w:szCs w:val="32"/>
        </w:rPr>
        <w:t>。</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（七）任务书签订后，项目相关单位应按任务书要求完成项目建设、资金使用。</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（八）联合体应明确各方权责、资金使用、资金分配等，其中</w:t>
      </w:r>
      <w:r>
        <w:rPr>
          <w:rFonts w:hint="eastAsia" w:ascii="Times New Roman" w:hAnsi="Times New Roman" w:eastAsia="仿宋_GB2312" w:cs="Times New Roman"/>
          <w:sz w:val="32"/>
          <w:szCs w:val="32"/>
          <w:lang w:eastAsia="zh-CN"/>
        </w:rPr>
        <w:t>项目</w:t>
      </w:r>
      <w:r>
        <w:rPr>
          <w:rFonts w:hint="default" w:ascii="Times New Roman" w:hAnsi="Times New Roman" w:eastAsia="仿宋_GB2312" w:cs="Times New Roman"/>
          <w:sz w:val="32"/>
          <w:szCs w:val="32"/>
        </w:rPr>
        <w:t>牵头单位应是主要承建单位。牵头单位及各联合体成员单位应当将项目资金纳入单位财务统一管理</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对中央财政资金和其他来源的资金分别单独核算</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确保专款专用。</w:t>
      </w:r>
    </w:p>
    <w:p>
      <w:pPr>
        <w:spacing w:line="600" w:lineRule="exact"/>
        <w:ind w:firstLine="640" w:firstLineChars="200"/>
        <w:jc w:val="left"/>
        <w:outlineLvl w:val="1"/>
        <w:rPr>
          <w:rFonts w:ascii="Times New Roman" w:hAnsi="Times New Roman" w:eastAsia="黑体" w:cs="Times New Roman"/>
          <w:sz w:val="32"/>
          <w:szCs w:val="32"/>
        </w:rPr>
      </w:pPr>
      <w:r>
        <w:rPr>
          <w:rFonts w:hint="default" w:ascii="Times New Roman" w:hAnsi="Times New Roman" w:eastAsia="黑体" w:cs="Times New Roman"/>
          <w:sz w:val="32"/>
          <w:szCs w:val="32"/>
        </w:rPr>
        <w:t>三、考核指标</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（一）工业互联网标识解析二级节点要与国家顶级节点实现对接，符合我国工业互联网标识解析体系架构；</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（二）工业互联网标识解析二级节点应支持标识解析体系的标识分配、标识注册、标识解析、标识查询等基础功能；</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（三）工业互联网标识解析二级节点的注册量不少于</w:t>
      </w:r>
      <w:r>
        <w:rPr>
          <w:rFonts w:hint="eastAsia" w:ascii="Times New Roman" w:hAnsi="Times New Roman" w:eastAsia="仿宋_GB2312" w:cs="Times New Roman"/>
          <w:sz w:val="32"/>
          <w:szCs w:val="32"/>
          <w:lang w:eastAsia="zh-CN"/>
        </w:rPr>
        <w:t>1</w:t>
      </w:r>
      <w:r>
        <w:rPr>
          <w:rFonts w:ascii="Times New Roman" w:hAnsi="Times New Roman" w:eastAsia="仿宋_GB2312" w:cs="Times New Roman"/>
          <w:sz w:val="32"/>
          <w:szCs w:val="32"/>
        </w:rPr>
        <w:t>0</w:t>
      </w:r>
      <w:r>
        <w:rPr>
          <w:rFonts w:hint="default" w:ascii="Times New Roman" w:hAnsi="Times New Roman" w:eastAsia="仿宋_GB2312" w:cs="Times New Roman"/>
          <w:sz w:val="32"/>
          <w:szCs w:val="32"/>
        </w:rPr>
        <w:t>00万个，日均解析量不少于</w:t>
      </w:r>
      <w:r>
        <w:rPr>
          <w:rFonts w:hint="eastAsia" w:ascii="Times New Roman" w:hAnsi="Times New Roman" w:eastAsia="仿宋_GB2312" w:cs="Times New Roman"/>
          <w:sz w:val="32"/>
          <w:szCs w:val="32"/>
          <w:lang w:eastAsia="zh-CN"/>
        </w:rPr>
        <w:t>8</w:t>
      </w:r>
      <w:r>
        <w:rPr>
          <w:rFonts w:ascii="Times New Roman" w:hAnsi="Times New Roman" w:eastAsia="仿宋_GB2312" w:cs="Times New Roman"/>
          <w:sz w:val="32"/>
          <w:szCs w:val="32"/>
        </w:rPr>
        <w:t>万次</w:t>
      </w:r>
      <w:r>
        <w:rPr>
          <w:rFonts w:hint="default" w:ascii="Times New Roman" w:hAnsi="Times New Roman" w:eastAsia="仿宋_GB2312" w:cs="Times New Roman"/>
          <w:sz w:val="32"/>
          <w:szCs w:val="32"/>
        </w:rPr>
        <w:t>，接入不少于</w:t>
      </w:r>
      <w:r>
        <w:rPr>
          <w:rFonts w:hint="eastAsia" w:ascii="Times New Roman" w:hAnsi="Times New Roman" w:eastAsia="仿宋_GB2312" w:cs="Times New Roman"/>
          <w:sz w:val="32"/>
          <w:szCs w:val="32"/>
          <w:lang w:eastAsia="zh-CN"/>
        </w:rPr>
        <w:t>5</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家企业；</w:t>
      </w:r>
    </w:p>
    <w:p>
      <w:pPr>
        <w:spacing w:line="600" w:lineRule="exact"/>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（四）打造不少于</w:t>
      </w:r>
      <w:r>
        <w:rPr>
          <w:rFonts w:ascii="Times New Roman" w:hAnsi="Times New Roman" w:eastAsia="仿宋_GB2312" w:cs="Times New Roman"/>
          <w:sz w:val="32"/>
          <w:szCs w:val="32"/>
        </w:rPr>
        <w:t>1种具有典型性和示范性的工业互联网标识解析集成创新应用模式</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实现经营管理、供应链管理、研发设计、生产制造、物流配送、售后服务等</w:t>
      </w:r>
      <w:r>
        <w:rPr>
          <w:rFonts w:hint="default" w:ascii="Times New Roman" w:hAnsi="Times New Roman" w:eastAsia="仿宋_GB2312" w:cs="Times New Roman"/>
          <w:sz w:val="32"/>
          <w:szCs w:val="32"/>
        </w:rPr>
        <w:t>工业</w:t>
      </w:r>
      <w:r>
        <w:rPr>
          <w:rFonts w:ascii="Times New Roman" w:hAnsi="Times New Roman" w:eastAsia="仿宋_GB2312" w:cs="Times New Roman"/>
          <w:sz w:val="32"/>
          <w:szCs w:val="32"/>
        </w:rPr>
        <w:t>数据</w:t>
      </w:r>
      <w:r>
        <w:rPr>
          <w:rFonts w:hint="default" w:ascii="Times New Roman" w:hAnsi="Times New Roman" w:eastAsia="仿宋_GB2312" w:cs="Times New Roman"/>
          <w:sz w:val="32"/>
          <w:szCs w:val="32"/>
        </w:rPr>
        <w:t>在行业内及行业间流通；</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（五）接入广东省工业互联网安全态势感知与监测平台</w:t>
      </w:r>
      <w:r>
        <w:rPr>
          <w:rFonts w:hint="default" w:ascii="Times New Roman" w:hAnsi="Times New Roman" w:eastAsia="仿宋_GB2312" w:cs="Times New Roman"/>
          <w:sz w:val="32"/>
          <w:szCs w:val="32"/>
          <w:lang w:eastAsia="zh-CN"/>
        </w:rPr>
        <w:t>，配合完成对接，提供接口并同步相关数据</w:t>
      </w:r>
      <w:r>
        <w:rPr>
          <w:rFonts w:hint="default" w:ascii="Times New Roman" w:hAnsi="Times New Roman" w:eastAsia="仿宋_GB2312" w:cs="Times New Roman"/>
          <w:sz w:val="32"/>
          <w:szCs w:val="32"/>
        </w:rPr>
        <w:t>；</w:t>
      </w:r>
    </w:p>
    <w:p>
      <w:pPr>
        <w:spacing w:line="600" w:lineRule="exact"/>
        <w:ind w:firstLine="640" w:firstLineChars="200"/>
        <w:jc w:val="left"/>
        <w:rPr>
          <w:rFonts w:ascii="Times New Roman" w:hAnsi="Times New Roman" w:eastAsia="仿宋_GB2312"/>
          <w:sz w:val="32"/>
          <w:szCs w:val="32"/>
        </w:rPr>
      </w:pPr>
      <w:r>
        <w:rPr>
          <w:rFonts w:hint="default" w:ascii="Times New Roman" w:hAnsi="Times New Roman" w:eastAsia="仿宋_GB2312"/>
          <w:sz w:val="32"/>
          <w:szCs w:val="32"/>
        </w:rPr>
        <w:t>（六）接入广东省工业互联网标识解析管理与大数据分析平台</w:t>
      </w:r>
      <w:r>
        <w:rPr>
          <w:rFonts w:hint="default" w:ascii="Times New Roman" w:hAnsi="Times New Roman" w:eastAsia="仿宋_GB2312" w:cs="Times New Roman"/>
          <w:sz w:val="32"/>
          <w:szCs w:val="32"/>
          <w:lang w:eastAsia="zh-CN"/>
        </w:rPr>
        <w:t>，配合完成对接，提供接口并同步相关数据</w:t>
      </w:r>
      <w:r>
        <w:rPr>
          <w:rFonts w:hint="default" w:ascii="Times New Roman" w:hAnsi="Times New Roman" w:eastAsia="仿宋_GB2312"/>
          <w:sz w:val="32"/>
          <w:szCs w:val="32"/>
        </w:rPr>
        <w:t>；</w:t>
      </w:r>
    </w:p>
    <w:p>
      <w:pPr>
        <w:spacing w:line="60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（七）具有完备的安全技术防范及安全管理措施</w:t>
      </w:r>
      <w:r>
        <w:rPr>
          <w:rFonts w:hint="default" w:ascii="Times New Roman" w:hAnsi="Times New Roman" w:eastAsia="仿宋_GB2312" w:cs="Times New Roman"/>
          <w:sz w:val="32"/>
          <w:szCs w:val="32"/>
          <w:lang w:eastAsia="zh-CN"/>
        </w:rPr>
        <w:t>和</w:t>
      </w:r>
      <w:r>
        <w:rPr>
          <w:rFonts w:hint="default" w:ascii="Times New Roman" w:hAnsi="Times New Roman" w:eastAsia="仿宋_GB2312" w:cs="Times New Roman"/>
          <w:sz w:val="32"/>
          <w:szCs w:val="32"/>
        </w:rPr>
        <w:t>相关机构出具的安全评估报告。</w:t>
      </w:r>
    </w:p>
    <w:p>
      <w:pPr>
        <w:spacing w:line="600" w:lineRule="exact"/>
        <w:ind w:firstLine="420" w:firstLineChars="200"/>
        <w:jc w:val="left"/>
        <w:rPr>
          <w:rFonts w:hint="default" w:ascii="Times New Roman" w:hAnsi="Times New Roman"/>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pPr>
        <w:pStyle w:val="2"/>
        <w:rPr>
          <w:rFonts w:ascii="Times New Roman" w:hAnsi="Times New Roman" w:eastAsia="仿宋_GB2312"/>
          <w:sz w:val="32"/>
          <w:szCs w:val="32"/>
        </w:rPr>
      </w:pPr>
    </w:p>
    <w:p>
      <w:bookmarkStart w:id="0" w:name="_GoBack"/>
      <w:bookmarkEnd w:id="0"/>
    </w:p>
    <w:sectPr>
      <w:headerReference r:id="rId3" w:type="default"/>
      <w:footerReference r:id="rId4" w:type="default"/>
      <w:pgSz w:w="11906" w:h="16838"/>
      <w:pgMar w:top="1417" w:right="1587" w:bottom="1417"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E27C42-0D69-4997-A190-3F1FFF497BEF}"/>
  </w:font>
  <w:font w:name="Arial">
    <w:panose1 w:val="020B0604020202020204"/>
    <w:charset w:val="01"/>
    <w:family w:val="swiss"/>
    <w:pitch w:val="default"/>
    <w:sig w:usb0="E0002AFF" w:usb1="C0007843" w:usb2="00000009" w:usb3="00000000" w:csb0="400001FF" w:csb1="FFFF0000"/>
    <w:embedRegular r:id="rId2" w:fontKey="{292B4F11-1DBD-44CE-A51B-DCB7A3132763}"/>
  </w:font>
  <w:font w:name="黑体">
    <w:panose1 w:val="02010609060101010101"/>
    <w:charset w:val="86"/>
    <w:family w:val="auto"/>
    <w:pitch w:val="default"/>
    <w:sig w:usb0="800002BF" w:usb1="38CF7CFA" w:usb2="00000016" w:usb3="00000000" w:csb0="00040001" w:csb1="00000000"/>
    <w:embedRegular r:id="rId3" w:fontKey="{9EFFB565-1AE1-498B-A642-0D90E48A4A47}"/>
  </w:font>
  <w:font w:name="Courier New">
    <w:panose1 w:val="02070309020205020404"/>
    <w:charset w:val="01"/>
    <w:family w:val="modern"/>
    <w:pitch w:val="default"/>
    <w:sig w:usb0="E0002AFF" w:usb1="C0007843" w:usb2="00000009" w:usb3="00000000" w:csb0="400001FF" w:csb1="FFFF0000"/>
    <w:embedRegular r:id="rId4" w:fontKey="{B5025D36-0E57-4C55-A87E-9EB72F68B671}"/>
  </w:font>
  <w:font w:name="Symbol">
    <w:panose1 w:val="05050102010706020507"/>
    <w:charset w:val="02"/>
    <w:family w:val="roman"/>
    <w:pitch w:val="default"/>
    <w:sig w:usb0="00000000" w:usb1="00000000" w:usb2="00000000" w:usb3="00000000" w:csb0="80000000" w:csb1="00000000"/>
    <w:embedRegular r:id="rId5" w:fontKey="{4D2187A4-258F-49F8-A100-9735E3B442C1}"/>
  </w:font>
  <w:font w:name="Cambria">
    <w:panose1 w:val="02040503050406030204"/>
    <w:charset w:val="00"/>
    <w:family w:val="roman"/>
    <w:pitch w:val="default"/>
    <w:sig w:usb0="E00002FF" w:usb1="400004FF" w:usb2="00000000" w:usb3="00000000" w:csb0="2000019F" w:csb1="00000000"/>
    <w:embedRegular r:id="rId6" w:fontKey="{CBEC56A4-B502-4E55-B951-DCC191B06BCF}"/>
  </w:font>
  <w:font w:name="Calibri">
    <w:panose1 w:val="020F0502020204030204"/>
    <w:charset w:val="00"/>
    <w:family w:val="swiss"/>
    <w:pitch w:val="default"/>
    <w:sig w:usb0="E10002FF" w:usb1="4000ACFF" w:usb2="00000009" w:usb3="00000000" w:csb0="2000019F" w:csb1="00000000"/>
    <w:embedRegular r:id="rId7" w:fontKey="{11ACC6EE-8FD6-495A-922F-8E9C673676DE}"/>
  </w:font>
  <w:font w:name="方正小标宋_GBK">
    <w:panose1 w:val="03000502000000000000"/>
    <w:charset w:val="86"/>
    <w:family w:val="script"/>
    <w:pitch w:val="default"/>
    <w:sig w:usb0="00000001" w:usb1="080E0000" w:usb2="00000000" w:usb3="00000000" w:csb0="00040000" w:csb1="00000000"/>
    <w:embedRegular r:id="rId8" w:fontKey="{CEBECDDA-9F82-46E4-8348-BA0E2C8F108D}"/>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9" w:fontKey="{CCEAC791-AA1C-48DD-89E3-C03128E19063}"/>
  </w:font>
  <w:font w:name="楷体_GB2312">
    <w:altName w:val="楷体"/>
    <w:panose1 w:val="02010609030101010101"/>
    <w:charset w:val="86"/>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10" w:fontKey="{DC2B5CAA-E856-486B-8CA5-52F0E1F3DA27}"/>
  </w:font>
  <w:font w:name="楷体">
    <w:panose1 w:val="02010609060101010101"/>
    <w:charset w:val="86"/>
    <w:family w:val="modern"/>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3073" o:spid="_x0000_s3073"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15"/>
                  <w:rPr>
                    <w:szCs w:val="28"/>
                  </w:rPr>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ind w:firstLine="45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dit="forms"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603EA"/>
    <w:rsid w:val="0004002B"/>
    <w:rsid w:val="0005152B"/>
    <w:rsid w:val="00074D3A"/>
    <w:rsid w:val="000A246E"/>
    <w:rsid w:val="0013427C"/>
    <w:rsid w:val="001634C3"/>
    <w:rsid w:val="0022779F"/>
    <w:rsid w:val="00255AE4"/>
    <w:rsid w:val="002665DC"/>
    <w:rsid w:val="002C0310"/>
    <w:rsid w:val="002C0F4B"/>
    <w:rsid w:val="002C70A9"/>
    <w:rsid w:val="002F638F"/>
    <w:rsid w:val="00350CEC"/>
    <w:rsid w:val="003805B9"/>
    <w:rsid w:val="0038654A"/>
    <w:rsid w:val="003966B2"/>
    <w:rsid w:val="003A274A"/>
    <w:rsid w:val="003C391A"/>
    <w:rsid w:val="003C6F46"/>
    <w:rsid w:val="00411964"/>
    <w:rsid w:val="00425DB5"/>
    <w:rsid w:val="00454FD4"/>
    <w:rsid w:val="004572AC"/>
    <w:rsid w:val="00474F86"/>
    <w:rsid w:val="004D0687"/>
    <w:rsid w:val="004D56A1"/>
    <w:rsid w:val="005145B6"/>
    <w:rsid w:val="0051676C"/>
    <w:rsid w:val="005C6C84"/>
    <w:rsid w:val="005D2802"/>
    <w:rsid w:val="005F3F8A"/>
    <w:rsid w:val="0069684A"/>
    <w:rsid w:val="006D0184"/>
    <w:rsid w:val="00721CE0"/>
    <w:rsid w:val="007977A2"/>
    <w:rsid w:val="007D1F59"/>
    <w:rsid w:val="007D680A"/>
    <w:rsid w:val="008421DD"/>
    <w:rsid w:val="008749A6"/>
    <w:rsid w:val="008B1CEF"/>
    <w:rsid w:val="008B221F"/>
    <w:rsid w:val="008E650E"/>
    <w:rsid w:val="00915C19"/>
    <w:rsid w:val="009E0247"/>
    <w:rsid w:val="009F37D8"/>
    <w:rsid w:val="00A603EA"/>
    <w:rsid w:val="00AA78A8"/>
    <w:rsid w:val="00AB2B56"/>
    <w:rsid w:val="00AF2B34"/>
    <w:rsid w:val="00B37376"/>
    <w:rsid w:val="00B93A9F"/>
    <w:rsid w:val="00BA4D04"/>
    <w:rsid w:val="00C0201C"/>
    <w:rsid w:val="00C3790D"/>
    <w:rsid w:val="00C409B3"/>
    <w:rsid w:val="00C63858"/>
    <w:rsid w:val="00C83429"/>
    <w:rsid w:val="00C85B15"/>
    <w:rsid w:val="00CB7F30"/>
    <w:rsid w:val="00CC3CCA"/>
    <w:rsid w:val="00CE21C0"/>
    <w:rsid w:val="00CF2618"/>
    <w:rsid w:val="00D06D91"/>
    <w:rsid w:val="00D863BD"/>
    <w:rsid w:val="00D8649B"/>
    <w:rsid w:val="00DA096D"/>
    <w:rsid w:val="00DC285F"/>
    <w:rsid w:val="00DD353B"/>
    <w:rsid w:val="00E24FC0"/>
    <w:rsid w:val="00E26F4E"/>
    <w:rsid w:val="00E474CB"/>
    <w:rsid w:val="00E5567C"/>
    <w:rsid w:val="00E86AD6"/>
    <w:rsid w:val="00EB44B4"/>
    <w:rsid w:val="00EB5D00"/>
    <w:rsid w:val="00EB7A43"/>
    <w:rsid w:val="00F06AA8"/>
    <w:rsid w:val="00F3499D"/>
    <w:rsid w:val="00F435E5"/>
    <w:rsid w:val="00FA2853"/>
    <w:rsid w:val="00FD63D6"/>
    <w:rsid w:val="00FE55D2"/>
    <w:rsid w:val="01085718"/>
    <w:rsid w:val="047662CF"/>
    <w:rsid w:val="08734096"/>
    <w:rsid w:val="08CD74DF"/>
    <w:rsid w:val="09035BDC"/>
    <w:rsid w:val="105E44CD"/>
    <w:rsid w:val="162E48B7"/>
    <w:rsid w:val="1C0D7025"/>
    <w:rsid w:val="1F656DEF"/>
    <w:rsid w:val="213A7542"/>
    <w:rsid w:val="22A20834"/>
    <w:rsid w:val="264A6A36"/>
    <w:rsid w:val="27310367"/>
    <w:rsid w:val="29707B2D"/>
    <w:rsid w:val="2BB72B33"/>
    <w:rsid w:val="2EAC18E6"/>
    <w:rsid w:val="2F2553E6"/>
    <w:rsid w:val="30E8083F"/>
    <w:rsid w:val="32751FB1"/>
    <w:rsid w:val="3526356D"/>
    <w:rsid w:val="378C3667"/>
    <w:rsid w:val="3A1E7135"/>
    <w:rsid w:val="3AC824F7"/>
    <w:rsid w:val="3E5927EA"/>
    <w:rsid w:val="3EC716F8"/>
    <w:rsid w:val="3F915D90"/>
    <w:rsid w:val="45BB2912"/>
    <w:rsid w:val="461A2492"/>
    <w:rsid w:val="48BE56A0"/>
    <w:rsid w:val="4EC943B0"/>
    <w:rsid w:val="4F4664E3"/>
    <w:rsid w:val="50E34A4E"/>
    <w:rsid w:val="53947E1B"/>
    <w:rsid w:val="54120A62"/>
    <w:rsid w:val="55370231"/>
    <w:rsid w:val="56B7011F"/>
    <w:rsid w:val="59CC2A67"/>
    <w:rsid w:val="5AD92422"/>
    <w:rsid w:val="5EC720DF"/>
    <w:rsid w:val="5F8A0A8D"/>
    <w:rsid w:val="617C6E13"/>
    <w:rsid w:val="61A14732"/>
    <w:rsid w:val="62EE7CC3"/>
    <w:rsid w:val="650E0A94"/>
    <w:rsid w:val="6C7C795D"/>
    <w:rsid w:val="6F1065CA"/>
    <w:rsid w:val="719B4C03"/>
    <w:rsid w:val="71AD44F5"/>
    <w:rsid w:val="74CE54C9"/>
    <w:rsid w:val="74D270B1"/>
    <w:rsid w:val="77FA49B8"/>
    <w:rsid w:val="7BBF44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7"/>
    <w:qFormat/>
    <w:uiPriority w:val="9"/>
    <w:pPr>
      <w:keepNext/>
      <w:keepLines/>
      <w:spacing w:line="576" w:lineRule="auto"/>
      <w:outlineLvl w:val="0"/>
    </w:pPr>
    <w:rPr>
      <w:b/>
      <w:kern w:val="44"/>
      <w:sz w:val="44"/>
    </w:rPr>
  </w:style>
  <w:style w:type="paragraph" w:styleId="4">
    <w:name w:val="heading 2"/>
    <w:basedOn w:val="1"/>
    <w:next w:val="1"/>
    <w:unhideWhenUsed/>
    <w:qFormat/>
    <w:uiPriority w:val="9"/>
    <w:pPr>
      <w:keepNext/>
      <w:keepLines/>
      <w:spacing w:line="413" w:lineRule="auto"/>
      <w:outlineLvl w:val="1"/>
    </w:pPr>
    <w:rPr>
      <w:rFonts w:ascii="Arial" w:hAnsi="Arial" w:eastAsia="黑体"/>
      <w:b/>
      <w:sz w:val="32"/>
    </w:rPr>
  </w:style>
  <w:style w:type="paragraph" w:styleId="5">
    <w:name w:val="heading 3"/>
    <w:basedOn w:val="1"/>
    <w:next w:val="1"/>
    <w:unhideWhenUsed/>
    <w:qFormat/>
    <w:uiPriority w:val="9"/>
    <w:pPr>
      <w:keepNext/>
      <w:keepLines/>
      <w:spacing w:line="413" w:lineRule="auto"/>
      <w:outlineLvl w:val="2"/>
    </w:pPr>
    <w:rPr>
      <w:b/>
      <w:sz w:val="32"/>
    </w:rPr>
  </w:style>
  <w:style w:type="character" w:default="1" w:styleId="10">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unhideWhenUsed/>
    <w:qFormat/>
    <w:uiPriority w:val="99"/>
    <w:pPr>
      <w:spacing w:after="120"/>
    </w:pPr>
    <w:rPr>
      <w:szCs w:val="22"/>
    </w:rPr>
  </w:style>
  <w:style w:type="paragraph" w:styleId="6">
    <w:name w:val="annotation text"/>
    <w:basedOn w:val="1"/>
    <w:qFormat/>
    <w:uiPriority w:val="0"/>
    <w:pPr>
      <w:jc w:val="left"/>
    </w:p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Normal (Web)"/>
    <w:basedOn w:val="1"/>
    <w:unhideWhenUsed/>
    <w:qFormat/>
    <w:uiPriority w:val="99"/>
    <w:pPr>
      <w:widowControl/>
      <w:spacing w:before="75" w:after="75"/>
      <w:jc w:val="left"/>
    </w:pPr>
    <w:rPr>
      <w:rFonts w:ascii="宋体" w:hAnsi="宋体" w:cs="宋体"/>
      <w:kern w:val="0"/>
      <w:sz w:val="24"/>
    </w:rPr>
  </w:style>
  <w:style w:type="character" w:styleId="11">
    <w:name w:val="Hyperlink"/>
    <w:basedOn w:val="10"/>
    <w:unhideWhenUsed/>
    <w:qFormat/>
    <w:uiPriority w:val="99"/>
    <w:rPr>
      <w:color w:val="0000FF" w:themeColor="hyperlink"/>
      <w:u w:val="single"/>
    </w:rPr>
  </w:style>
  <w:style w:type="character" w:customStyle="1" w:styleId="13">
    <w:name w:val="页眉 Char"/>
    <w:basedOn w:val="10"/>
    <w:link w:val="8"/>
    <w:semiHidden/>
    <w:qFormat/>
    <w:uiPriority w:val="99"/>
    <w:rPr>
      <w:sz w:val="18"/>
      <w:szCs w:val="18"/>
    </w:rPr>
  </w:style>
  <w:style w:type="character" w:customStyle="1" w:styleId="14">
    <w:name w:val="页脚 Char"/>
    <w:basedOn w:val="10"/>
    <w:link w:val="7"/>
    <w:semiHidden/>
    <w:qFormat/>
    <w:uiPriority w:val="99"/>
    <w:rPr>
      <w:sz w:val="18"/>
      <w:szCs w:val="18"/>
    </w:rPr>
  </w:style>
  <w:style w:type="paragraph" w:customStyle="1" w:styleId="15">
    <w:name w:val="样式1"/>
    <w:basedOn w:val="1"/>
    <w:qFormat/>
    <w:uiPriority w:val="0"/>
    <w:rPr>
      <w:sz w:val="28"/>
    </w:rPr>
  </w:style>
  <w:style w:type="paragraph" w:customStyle="1" w:styleId="16">
    <w:name w:val="text"/>
    <w:basedOn w:val="1"/>
    <w:qFormat/>
    <w:uiPriority w:val="0"/>
    <w:pPr>
      <w:spacing w:line="360" w:lineRule="auto"/>
      <w:ind w:firstLine="420"/>
    </w:pPr>
    <w:rPr>
      <w:rFonts w:ascii="Times New Roman" w:hAnsi="Times New Roman" w:eastAsia="仿宋_GB2312" w:cs="Times New Roman"/>
      <w:sz w:val="24"/>
      <w:szCs w:val="20"/>
    </w:rPr>
  </w:style>
  <w:style w:type="character" w:customStyle="1" w:styleId="17">
    <w:name w:val="标题 1 字符1"/>
    <w:link w:val="3"/>
    <w:qFormat/>
    <w:uiPriority w:val="0"/>
    <w:rPr>
      <w:b/>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242</Words>
  <Characters>1382</Characters>
  <Lines>11</Lines>
  <Paragraphs>3</Paragraphs>
  <TotalTime>3</TotalTime>
  <ScaleCrop>false</ScaleCrop>
  <LinksUpToDate>false</LinksUpToDate>
  <CharactersWithSpaces>1621</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2018-05-22T07:30:00Z</dcterms:created>
  <dc:creator>魏龙茂</dc:creator>
  <cp:lastModifiedBy>未知</cp:lastModifiedBy>
  <cp:lastPrinted>2020-10-14T11:17:00Z</cp:lastPrinted>
  <dcterms:modified xsi:type="dcterms:W3CDTF">2021-10-25T01:03:46Z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KSOSaveFontToCloudKey">
    <vt:lpwstr>282798859_embed</vt:lpwstr>
  </property>
</Properties>
</file>